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5FDB" w:rsidRDefault="00D1336A">
      <w:pPr>
        <w:pStyle w:val="Heading"/>
      </w:pP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  <w:u w:color="00000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line">
                  <wp:posOffset>-675005</wp:posOffset>
                </wp:positionV>
                <wp:extent cx="3095625" cy="68897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688975"/>
                          <a:chOff x="0" y="0"/>
                          <a:chExt cx="3095625" cy="6889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095625" cy="688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cap="flat">
                            <a:solidFill>
                              <a:srgbClr val="B8CCE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095625" cy="688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225FDB" w:rsidRDefault="00D1336A">
                              <w:pPr>
                                <w:pStyle w:val="BodyA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B8CCE4"/>
                                  <w:sz w:val="44"/>
                                  <w:szCs w:val="44"/>
                                  <w:u w:color="B8CCE4"/>
                                </w:rPr>
                                <w:t>MEETING MINUTES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5.2pt;margin-top:-53.2pt;width:243.8pt;height:54.2pt;z-index:251659264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3095625,688975">
                <w10:wrap type="topAndBottom" side="bothSides" anchorx="text"/>
                <v:rect id="_x0000_s1027" style="position:absolute;left:0;top:0;width:3095625;height:688975;">
                  <v:fill color="#FFFFFF" opacity="100.0%" type="solid"/>
                  <v:stroke filltype="solid" color="#B8CCE4" opacity="100.0%" weight="2.5pt" dashstyle="solid" endcap="flat" miterlimit="8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095625;height:68897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jc w:val="center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color w:val="b8cce4"/>
                            <w:sz w:val="44"/>
                            <w:szCs w:val="44"/>
                            <w:u w:color="b8cce4"/>
                            <w:rtl w:val="0"/>
                            <w:lang w:val="en-US"/>
                          </w:rPr>
                          <w:t>MEETING MINUTES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Oregon public health association board of Directors meeting</w:t>
      </w:r>
    </w:p>
    <w:p w:rsidR="00225FDB" w:rsidRDefault="00225FDB">
      <w:pPr>
        <w:pStyle w:val="BodyA"/>
        <w:spacing w:before="0"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225FDB" w:rsidRDefault="00D1336A">
      <w:pPr>
        <w:pStyle w:val="BodyA"/>
        <w:spacing w:before="0"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DATE:  December 11, 2015</w:t>
      </w:r>
    </w:p>
    <w:p w:rsidR="00225FDB" w:rsidRDefault="00D1336A">
      <w:pPr>
        <w:pStyle w:val="BodyA"/>
        <w:spacing w:before="0" w:after="0" w:line="240" w:lineRule="auto"/>
        <w:jc w:val="center"/>
        <w:rPr>
          <w:rFonts w:ascii="Arial" w:eastAsia="Arial" w:hAnsi="Arial" w:cs="Arial"/>
        </w:rPr>
      </w:pPr>
      <w:r>
        <w:rPr>
          <w:rFonts w:ascii="Arial"/>
          <w:b/>
          <w:bCs/>
          <w:sz w:val="22"/>
          <w:szCs w:val="22"/>
        </w:rPr>
        <w:t>TIME: 3:15 - 4:00 PM</w:t>
      </w:r>
    </w:p>
    <w:p w:rsidR="00225FDB" w:rsidRDefault="00D1336A">
      <w:pPr>
        <w:pStyle w:val="Heading2"/>
        <w:spacing w:before="0"/>
        <w:rPr>
          <w:rFonts w:ascii="Arial" w:eastAsia="Arial" w:hAnsi="Arial" w:cs="Arial"/>
        </w:rPr>
      </w:pPr>
      <w:r>
        <w:rPr>
          <w:rFonts w:ascii="Arial"/>
        </w:rPr>
        <w:t>ATTENDEES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            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>APOLOGIES</w:t>
      </w:r>
    </w:p>
    <w:p w:rsidR="00225FDB" w:rsidRDefault="00225FDB">
      <w:pPr>
        <w:pStyle w:val="BodyA"/>
        <w:widowControl w:val="0"/>
        <w:spacing w:before="0" w:after="0"/>
        <w:rPr>
          <w:rFonts w:ascii="Arial" w:eastAsia="Arial" w:hAnsi="Arial" w:cs="Arial"/>
        </w:rPr>
      </w:pPr>
    </w:p>
    <w:tbl>
      <w:tblPr>
        <w:tblW w:w="89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234"/>
        <w:gridCol w:w="2540"/>
        <w:gridCol w:w="3484"/>
      </w:tblGrid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b/>
                <w:bCs/>
              </w:rPr>
              <w:t>In Person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b/>
                <w:bCs/>
              </w:rPr>
              <w:t>Phone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b/>
                <w:bCs/>
              </w:rPr>
              <w:t>Not Present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Alexander LaVake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Layla Garrigues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Jocelyn Warren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 xml:space="preserve">Brian </w:t>
            </w:r>
            <w:r>
              <w:rPr>
                <w:rFonts w:ascii="Arial"/>
              </w:rPr>
              <w:t>Johnson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Lila Wickham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Katy King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Caryn Wheeler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Rosa Sepulveda Klein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Charlie Fautin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Maria Elena Castro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Curtis Cude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Mark Shelnutt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Dianna Pickett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TableStyle2A"/>
            </w:pPr>
            <w:r>
              <w:t>Jamie Jones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Kurt Ferre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"/>
            </w:pPr>
            <w:r>
              <w:rPr>
                <w:rFonts w:ascii="Trebuchet MS"/>
                <w:sz w:val="20"/>
                <w:szCs w:val="20"/>
              </w:rPr>
              <w:t>Laura Spaulding</w:t>
            </w:r>
          </w:p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Rebekah Bally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Jana Peterson-Besse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Katherine Bradley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Lindsey Adkisson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Mireille Lafont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Marie Harvey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Marti Franc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Mitch Hass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Robb Hutson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 xml:space="preserve">Robina Ingram-Rich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b/>
                <w:bCs/>
              </w:rPr>
              <w:t>Staff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Trebuchet MS"/>
              </w:rPr>
              <w:t>Jessica Nischik-Long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</w:rPr>
              <w:t>Kim Krull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b/>
                <w:bCs/>
              </w:rPr>
              <w:t>Guests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  <w:tr w:rsidR="00225FDB">
        <w:trPr>
          <w:trHeight w:val="240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25FDB" w:rsidRDefault="00225FDB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225FDB"/>
        </w:tc>
      </w:tr>
    </w:tbl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225FDB">
      <w:pPr>
        <w:pStyle w:val="BodyA"/>
        <w:widowControl w:val="0"/>
        <w:spacing w:before="0" w:after="0" w:line="240" w:lineRule="auto"/>
        <w:rPr>
          <w:rFonts w:ascii="Arial" w:eastAsia="Arial" w:hAnsi="Arial" w:cs="Arial"/>
        </w:rPr>
      </w:pPr>
    </w:p>
    <w:p w:rsidR="00225FDB" w:rsidRDefault="00D1336A">
      <w:pPr>
        <w:pStyle w:val="BodyA"/>
        <w:shd w:val="clear" w:color="auto" w:fill="DBE5F1"/>
        <w:spacing w:after="0"/>
        <w:outlineLvl w:val="1"/>
        <w:rPr>
          <w:rFonts w:ascii="Arial" w:eastAsia="Arial" w:hAnsi="Arial" w:cs="Arial"/>
          <w:caps/>
        </w:rPr>
      </w:pPr>
      <w:r>
        <w:rPr>
          <w:rFonts w:ascii="Arial"/>
          <w:caps/>
        </w:rPr>
        <w:t>Key findings and DECISIONS</w:t>
      </w:r>
    </w:p>
    <w:p w:rsidR="00225FDB" w:rsidRDefault="00D1336A">
      <w:pPr>
        <w:pStyle w:val="Heading2"/>
        <w:widowControl w:val="0"/>
        <w:spacing w:before="0"/>
        <w:rPr>
          <w:rFonts w:ascii="Arial" w:eastAsia="Arial" w:hAnsi="Arial" w:cs="Arial"/>
        </w:rPr>
      </w:pPr>
      <w:r>
        <w:rPr>
          <w:rFonts w:ascii="Arial"/>
        </w:rPr>
        <w:t>Meeting actions</w:t>
      </w:r>
    </w:p>
    <w:tbl>
      <w:tblPr>
        <w:tblW w:w="92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707"/>
        <w:gridCol w:w="3294"/>
      </w:tblGrid>
      <w:tr w:rsidR="00225FDB">
        <w:trPr>
          <w:trHeight w:val="313"/>
        </w:trPr>
        <w:tc>
          <w:tcPr>
            <w:tcW w:w="12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7ED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i/>
                <w:iCs/>
              </w:rPr>
              <w:t>Due Date</w:t>
            </w:r>
          </w:p>
        </w:tc>
        <w:tc>
          <w:tcPr>
            <w:tcW w:w="470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7ED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i/>
                <w:iCs/>
              </w:rPr>
              <w:t>Action</w:t>
            </w:r>
          </w:p>
        </w:tc>
        <w:tc>
          <w:tcPr>
            <w:tcW w:w="329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E7ED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A"/>
              <w:spacing w:before="0" w:after="0" w:line="240" w:lineRule="auto"/>
            </w:pPr>
            <w:r>
              <w:rPr>
                <w:rFonts w:ascii="Arial"/>
                <w:i/>
                <w:iCs/>
              </w:rPr>
              <w:t xml:space="preserve">Person(s) responsible  </w:t>
            </w:r>
          </w:p>
        </w:tc>
      </w:tr>
      <w:tr w:rsidR="00225FDB">
        <w:trPr>
          <w:trHeight w:val="480"/>
        </w:trPr>
        <w:tc>
          <w:tcPr>
            <w:tcW w:w="12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1-15-16</w:t>
            </w:r>
          </w:p>
        </w:tc>
        <w:tc>
          <w:tcPr>
            <w:tcW w:w="470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Contact suggested members re: serving on the PH Law Center steering committee</w:t>
            </w:r>
          </w:p>
        </w:tc>
        <w:tc>
          <w:tcPr>
            <w:tcW w:w="329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Jessica</w:t>
            </w:r>
          </w:p>
        </w:tc>
      </w:tr>
      <w:tr w:rsidR="00225FDB">
        <w:trPr>
          <w:trHeight w:val="480"/>
        </w:trPr>
        <w:tc>
          <w:tcPr>
            <w:tcW w:w="12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t>1-15-16</w:t>
            </w:r>
          </w:p>
        </w:tc>
        <w:tc>
          <w:tcPr>
            <w:tcW w:w="470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Contact Anna Stievater to volunteer for the Capitol Visit Day work group</w:t>
            </w:r>
          </w:p>
        </w:tc>
        <w:tc>
          <w:tcPr>
            <w:tcW w:w="329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 xml:space="preserve">any interested board </w:t>
            </w:r>
            <w:r>
              <w:rPr>
                <w:rFonts w:ascii="Trebuchet MS"/>
                <w:sz w:val="20"/>
                <w:szCs w:val="20"/>
              </w:rPr>
              <w:t>member</w:t>
            </w:r>
          </w:p>
        </w:tc>
      </w:tr>
      <w:tr w:rsidR="00225FDB">
        <w:trPr>
          <w:trHeight w:val="480"/>
        </w:trPr>
        <w:tc>
          <w:tcPr>
            <w:tcW w:w="1278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1-15-16</w:t>
            </w:r>
          </w:p>
        </w:tc>
        <w:tc>
          <w:tcPr>
            <w:tcW w:w="4707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Complete commitment form and return to Kim, if you haven</w:t>
            </w:r>
            <w:r>
              <w:rPr>
                <w:rFonts w:hAnsi="Trebuchet MS"/>
                <w:sz w:val="20"/>
                <w:szCs w:val="20"/>
              </w:rPr>
              <w:t>’</w:t>
            </w:r>
            <w:r>
              <w:rPr>
                <w:rFonts w:ascii="Trebuchet MS"/>
                <w:sz w:val="20"/>
                <w:szCs w:val="20"/>
              </w:rPr>
              <w:t>t done so</w:t>
            </w:r>
          </w:p>
        </w:tc>
        <w:tc>
          <w:tcPr>
            <w:tcW w:w="3294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5FDB" w:rsidRDefault="00D1336A">
            <w:pPr>
              <w:pStyle w:val="BodyB"/>
            </w:pPr>
            <w:r>
              <w:rPr>
                <w:rFonts w:ascii="Trebuchet MS"/>
                <w:sz w:val="20"/>
                <w:szCs w:val="20"/>
              </w:rPr>
              <w:t>each board member</w:t>
            </w:r>
          </w:p>
        </w:tc>
      </w:tr>
    </w:tbl>
    <w:p w:rsidR="00225FDB" w:rsidRDefault="00225FDB">
      <w:pPr>
        <w:pStyle w:val="Heading2"/>
        <w:widowControl w:val="0"/>
        <w:spacing w:before="0" w:line="240" w:lineRule="auto"/>
        <w:rPr>
          <w:rFonts w:ascii="Arial" w:eastAsia="Arial" w:hAnsi="Arial" w:cs="Arial"/>
        </w:rPr>
      </w:pPr>
    </w:p>
    <w:p w:rsidR="00225FDB" w:rsidRDefault="00225FDB">
      <w:pPr>
        <w:pStyle w:val="Heading2"/>
        <w:widowControl w:val="0"/>
        <w:spacing w:before="0" w:line="240" w:lineRule="auto"/>
        <w:rPr>
          <w:rFonts w:ascii="Arial" w:eastAsia="Arial" w:hAnsi="Arial" w:cs="Arial"/>
        </w:rPr>
      </w:pPr>
    </w:p>
    <w:p w:rsidR="00225FDB" w:rsidRDefault="00225FDB">
      <w:pPr>
        <w:pStyle w:val="Heading2"/>
        <w:widowControl w:val="0"/>
        <w:spacing w:before="0" w:line="240" w:lineRule="auto"/>
        <w:rPr>
          <w:rFonts w:ascii="Arial" w:eastAsia="Arial" w:hAnsi="Arial" w:cs="Arial"/>
        </w:rPr>
      </w:pPr>
    </w:p>
    <w:p w:rsidR="00225FDB" w:rsidRDefault="00225FDB">
      <w:pPr>
        <w:pStyle w:val="Heading2"/>
        <w:widowControl w:val="0"/>
        <w:spacing w:before="0" w:line="240" w:lineRule="auto"/>
        <w:rPr>
          <w:rFonts w:ascii="Arial" w:eastAsia="Arial" w:hAnsi="Arial" w:cs="Arial"/>
        </w:rPr>
      </w:pPr>
    </w:p>
    <w:p w:rsidR="00225FDB" w:rsidRDefault="00225FDB">
      <w:pPr>
        <w:pStyle w:val="Heading2"/>
        <w:widowControl w:val="0"/>
        <w:spacing w:before="0" w:line="240" w:lineRule="auto"/>
        <w:rPr>
          <w:rFonts w:ascii="Arial" w:eastAsia="Arial" w:hAnsi="Arial" w:cs="Arial"/>
        </w:rPr>
      </w:pPr>
    </w:p>
    <w:p w:rsidR="00225FDB" w:rsidRDefault="00225FDB">
      <w:pPr>
        <w:pStyle w:val="Small"/>
        <w:jc w:val="center"/>
        <w:rPr>
          <w:rFonts w:ascii="Arial" w:eastAsia="Arial" w:hAnsi="Arial" w:cs="Arial"/>
          <w:color w:val="000000"/>
          <w:sz w:val="20"/>
          <w:szCs w:val="20"/>
          <w:u w:color="000000"/>
        </w:rPr>
      </w:pPr>
    </w:p>
    <w:p w:rsidR="00225FDB" w:rsidRDefault="00D1336A">
      <w:pPr>
        <w:pStyle w:val="Heading2"/>
        <w:rPr>
          <w:rFonts w:ascii="Arial" w:eastAsia="Arial" w:hAnsi="Arial" w:cs="Arial"/>
        </w:rPr>
      </w:pPr>
      <w:r>
        <w:rPr>
          <w:rFonts w:ascii="Arial"/>
        </w:rPr>
        <w:t>details and background</w:t>
      </w:r>
    </w:p>
    <w:p w:rsidR="00225FDB" w:rsidRDefault="00D1336A">
      <w:pPr>
        <w:pStyle w:val="LightGrid-Accent31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/>
          <w:b/>
          <w:bCs/>
        </w:rPr>
        <w:t>Agenda Topic 1:  Call to order - Robi Ingram-Rich</w:t>
      </w:r>
      <w:r>
        <w:rPr>
          <w:rFonts w:ascii="Arial"/>
        </w:rPr>
        <w:t xml:space="preserve"> </w:t>
      </w:r>
    </w:p>
    <w:p w:rsidR="00225FDB" w:rsidRDefault="00D1336A">
      <w:pPr>
        <w:pStyle w:val="LightGrid-Accent31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/>
        </w:rPr>
        <w:t>Robi called the meeting to order at 3:20 PM.</w:t>
      </w:r>
    </w:p>
    <w:p w:rsidR="00225FDB" w:rsidRDefault="00D1336A">
      <w:pPr>
        <w:pStyle w:val="LightGrid-Accent31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/>
          <w:b/>
          <w:bCs/>
        </w:rPr>
        <w:t xml:space="preserve">Agenda Topic 2: November </w:t>
      </w:r>
      <w:r>
        <w:rPr>
          <w:rFonts w:ascii="Arial"/>
          <w:b/>
          <w:bCs/>
        </w:rPr>
        <w:t>Board Meeting Minutes - Marti Franc</w:t>
      </w:r>
      <w:r>
        <w:rPr>
          <w:rFonts w:ascii="Arial"/>
        </w:rPr>
        <w:t xml:space="preserve"> </w:t>
      </w:r>
    </w:p>
    <w:p w:rsidR="00225FDB" w:rsidRDefault="00D1336A">
      <w:pPr>
        <w:pStyle w:val="LightGrid-Accent31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/>
        </w:rPr>
        <w:t xml:space="preserve">One correction - under the Development Committee report, should read </w:t>
      </w:r>
      <w:r>
        <w:rPr>
          <w:rFonts w:hAnsi="Arial"/>
        </w:rPr>
        <w:t>“</w:t>
      </w:r>
      <w:r>
        <w:rPr>
          <w:rFonts w:ascii="Arial"/>
        </w:rPr>
        <w:t>Plan4Health</w:t>
      </w:r>
      <w:r>
        <w:rPr>
          <w:rFonts w:hAnsi="Arial"/>
        </w:rPr>
        <w:t>”</w:t>
      </w:r>
      <w:r>
        <w:rPr>
          <w:rFonts w:ascii="Arial"/>
        </w:rPr>
        <w:t>.</w:t>
      </w:r>
    </w:p>
    <w:p w:rsidR="00225FDB" w:rsidRDefault="00D1336A">
      <w:pPr>
        <w:pStyle w:val="BodyA"/>
        <w:spacing w:after="0"/>
        <w:ind w:firstLine="360"/>
        <w:rPr>
          <w:rFonts w:ascii="Arial" w:eastAsia="Arial" w:hAnsi="Arial" w:cs="Arial"/>
        </w:rPr>
      </w:pPr>
      <w:r>
        <w:rPr>
          <w:rFonts w:ascii="Arial"/>
          <w:b/>
          <w:bCs/>
        </w:rPr>
        <w:t xml:space="preserve">Motion:  </w:t>
      </w:r>
      <w:r>
        <w:rPr>
          <w:rFonts w:ascii="Arial"/>
        </w:rPr>
        <w:t>Motion, seconded, to accept the minutes as corrected</w:t>
      </w:r>
      <w:r>
        <w:rPr>
          <w:rFonts w:ascii="Arial"/>
          <w:b/>
          <w:bCs/>
        </w:rPr>
        <w:t xml:space="preserve">. </w:t>
      </w:r>
      <w:r>
        <w:rPr>
          <w:rFonts w:ascii="Arial"/>
        </w:rPr>
        <w:t>Ayes all, motion carried.</w:t>
      </w:r>
    </w:p>
    <w:p w:rsidR="00225FDB" w:rsidRDefault="00225FDB">
      <w:pPr>
        <w:pStyle w:val="ListParagraph"/>
        <w:spacing w:before="0" w:after="0" w:line="240" w:lineRule="auto"/>
        <w:rPr>
          <w:rFonts w:ascii="Arial" w:eastAsia="Arial" w:hAnsi="Arial" w:cs="Arial"/>
        </w:rPr>
      </w:pPr>
    </w:p>
    <w:p w:rsidR="00225FDB" w:rsidRDefault="00D1336A">
      <w:pPr>
        <w:pStyle w:val="BodyA"/>
        <w:spacing w:before="0" w:after="0" w:line="240" w:lineRule="auto"/>
        <w:rPr>
          <w:rFonts w:ascii="Arial" w:eastAsia="Arial" w:hAnsi="Arial" w:cs="Arial"/>
          <w:b/>
          <w:bCs/>
        </w:rPr>
      </w:pPr>
      <w:r>
        <w:rPr>
          <w:rFonts w:ascii="Arial"/>
          <w:lang w:val="pt-PT"/>
        </w:rPr>
        <w:t>Agenda Topic 3:</w:t>
      </w:r>
      <w:r>
        <w:rPr>
          <w:rFonts w:ascii="Arial"/>
          <w:b/>
          <w:bCs/>
        </w:rPr>
        <w:t xml:space="preserve">  Treasurers Report - Brian Johnson</w:t>
      </w:r>
    </w:p>
    <w:p w:rsidR="00225FDB" w:rsidRDefault="00225FDB">
      <w:pPr>
        <w:pStyle w:val="BodyA"/>
        <w:spacing w:before="0" w:after="0" w:line="240" w:lineRule="auto"/>
        <w:rPr>
          <w:rFonts w:ascii="Arial" w:eastAsia="Arial" w:hAnsi="Arial" w:cs="Arial"/>
          <w:b/>
          <w:bCs/>
        </w:rPr>
      </w:pPr>
    </w:p>
    <w:p w:rsidR="00225FDB" w:rsidRDefault="00D1336A">
      <w:pPr>
        <w:pStyle w:val="BodyA"/>
        <w:spacing w:before="0" w:after="0" w:line="240" w:lineRule="auto"/>
        <w:rPr>
          <w:rFonts w:ascii="Arial" w:eastAsia="Arial" w:hAnsi="Arial" w:cs="Arial"/>
        </w:rPr>
      </w:pPr>
      <w:r>
        <w:rPr>
          <w:rFonts w:ascii="Arial"/>
        </w:rPr>
        <w:t>Reviewed The November, 2015 financial statement. We are about 90% through the year. Membership dues continue to be  a bit low.  The conference catering and facility rental bills just came in.  They are right around $22,</w:t>
      </w:r>
      <w:r>
        <w:rPr>
          <w:rFonts w:ascii="Arial"/>
        </w:rPr>
        <w:t>000, in line with what we budgeted.  These charges are discounted for us by OSU.  We have recently received $7,500 in income from the conference, which isn</w:t>
      </w:r>
      <w:r>
        <w:rPr>
          <w:rFonts w:hAnsi="Arial"/>
        </w:rPr>
        <w:t>’</w:t>
      </w:r>
      <w:r>
        <w:rPr>
          <w:rFonts w:ascii="Arial"/>
        </w:rPr>
        <w:t>t in the books yet.</w:t>
      </w:r>
    </w:p>
    <w:p w:rsidR="00225FDB" w:rsidRDefault="00D1336A">
      <w:pPr>
        <w:pStyle w:val="BodyA"/>
        <w:spacing w:after="0"/>
        <w:ind w:left="360"/>
        <w:rPr>
          <w:rFonts w:ascii="Arial" w:eastAsia="Arial" w:hAnsi="Arial" w:cs="Arial"/>
        </w:rPr>
      </w:pPr>
      <w:r>
        <w:rPr>
          <w:rFonts w:ascii="Arial"/>
          <w:b/>
          <w:bCs/>
        </w:rPr>
        <w:t>Motion:</w:t>
      </w:r>
      <w:r>
        <w:rPr>
          <w:rFonts w:ascii="Arial"/>
        </w:rPr>
        <w:t xml:space="preserve"> Motion and seconded to accept the financial report. Ayes all, motion car</w:t>
      </w:r>
      <w:r>
        <w:rPr>
          <w:rFonts w:ascii="Arial"/>
        </w:rPr>
        <w:t>ried.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b/>
          <w:bCs/>
          <w:lang w:val="pt-PT"/>
        </w:rPr>
        <w:t>Agenda Topic 4: President</w:t>
      </w:r>
      <w:r>
        <w:rPr>
          <w:rFonts w:hAnsi="Arial"/>
          <w:b/>
          <w:bCs/>
          <w:lang w:val="pt-PT"/>
        </w:rPr>
        <w:t>’</w:t>
      </w:r>
      <w:r>
        <w:rPr>
          <w:rFonts w:ascii="Arial"/>
          <w:b/>
          <w:bCs/>
          <w:lang w:val="pt-PT"/>
        </w:rPr>
        <w:t>s Report - Robi Ingram-Rich</w:t>
      </w:r>
    </w:p>
    <w:p w:rsidR="00225FDB" w:rsidRDefault="00D1336A">
      <w:pPr>
        <w:pStyle w:val="BodyA"/>
        <w:rPr>
          <w:rFonts w:ascii="Arial" w:eastAsia="Arial" w:hAnsi="Arial" w:cs="Arial"/>
        </w:rPr>
      </w:pPr>
      <w:r>
        <w:rPr>
          <w:rFonts w:ascii="Arial"/>
          <w:lang w:val="pt-PT"/>
        </w:rPr>
        <w:t>Robi reminded board members that Capitol Visit Day in Salem on February 5 will be immediately followed by a board meeting.  The April board meeting will be located in Salem and the October board m</w:t>
      </w:r>
      <w:r>
        <w:rPr>
          <w:rFonts w:ascii="Arial"/>
          <w:lang w:val="pt-PT"/>
        </w:rPr>
        <w:t>eeting will be held in Corvallis in conjunction with our annual conference.</w:t>
      </w:r>
    </w:p>
    <w:p w:rsidR="00225FDB" w:rsidRDefault="00D1336A">
      <w:pPr>
        <w:pStyle w:val="BodyA"/>
        <w:rPr>
          <w:lang w:val="pt-PT"/>
        </w:rPr>
      </w:pPr>
      <w:r>
        <w:rPr>
          <w:rFonts w:ascii="Arial"/>
          <w:lang w:val="pt-PT"/>
        </w:rPr>
        <w:t xml:space="preserve">Agenda Topic 5: </w:t>
      </w:r>
      <w:r>
        <w:rPr>
          <w:rFonts w:ascii="Arial"/>
          <w:b/>
          <w:bCs/>
        </w:rPr>
        <w:t>Executive Director</w:t>
      </w:r>
      <w:r>
        <w:rPr>
          <w:rFonts w:hAnsi="Arial"/>
          <w:b/>
          <w:bCs/>
        </w:rPr>
        <w:t>’</w:t>
      </w:r>
      <w:r>
        <w:rPr>
          <w:rFonts w:ascii="Arial"/>
          <w:b/>
          <w:bCs/>
        </w:rPr>
        <w:t>s Report - Jessica Nischik-Long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lang w:val="pt-PT"/>
        </w:rPr>
        <w:t>We r</w:t>
      </w:r>
      <w:r>
        <w:rPr>
          <w:rFonts w:ascii="Arial"/>
          <w:lang w:val="pt-PT"/>
        </w:rPr>
        <w:t>eceived an APHA accreditation grant for $5000. We are working with CLHO, focusing on workforce development, w</w:t>
      </w:r>
      <w:r>
        <w:rPr>
          <w:rFonts w:ascii="Arial"/>
          <w:lang w:val="pt-PT"/>
        </w:rPr>
        <w:t xml:space="preserve">hich is domain 8 in the PHAB standards.  Looking at Lane County as a </w:t>
      </w:r>
      <w:r>
        <w:rPr>
          <w:rFonts w:ascii="Arial"/>
          <w:lang w:val="pt-PT"/>
        </w:rPr>
        <w:lastRenderedPageBreak/>
        <w:t>location for a full day workshop, with 3 technical assistance sessions as follow up with attending counties.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>The Public Health Law Center proposal was not funded, but the center, which is</w:t>
      </w:r>
      <w:r>
        <w:rPr>
          <w:rFonts w:ascii="Arial"/>
          <w:lang w:val="pt-PT"/>
        </w:rPr>
        <w:t>n</w:t>
      </w:r>
      <w:r>
        <w:rPr>
          <w:rFonts w:hAnsi="Arial"/>
          <w:lang w:val="pt-PT"/>
        </w:rPr>
        <w:t>’</w:t>
      </w:r>
      <w:r>
        <w:rPr>
          <w:rFonts w:ascii="Arial"/>
          <w:lang w:val="pt-PT"/>
        </w:rPr>
        <w:t>t operational yet, is still looking for a representative from OPHA for their steering committee.  The position would probably attend three quarterly meetings to help develop a business plan to help with future grant applications.  Katy King and  Katie Ri</w:t>
      </w:r>
      <w:r>
        <w:rPr>
          <w:rFonts w:ascii="Arial"/>
          <w:lang w:val="pt-PT"/>
        </w:rPr>
        <w:t>ley were suggested as possible representatives. Jessica will check with them.  Robb offered himself as option C, if neither of the other potential candidates accept the role.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 xml:space="preserve">The Policy Committee is starting to plan Capitol Visit Day and is forming a work </w:t>
      </w:r>
      <w:r>
        <w:rPr>
          <w:rFonts w:ascii="Arial"/>
          <w:lang w:val="pt-PT"/>
        </w:rPr>
        <w:t>group.  Contact Anna to volunteer.  At Capitol Visit Day, we have a space in the capitol</w:t>
      </w:r>
      <w:r>
        <w:rPr>
          <w:rFonts w:hAnsi="Arial"/>
          <w:lang w:val="pt-PT"/>
        </w:rPr>
        <w:t>’</w:t>
      </w:r>
      <w:r>
        <w:rPr>
          <w:rFonts w:ascii="Arial"/>
          <w:lang w:val="pt-PT"/>
        </w:rPr>
        <w:t>s galleria; we pay for table space and invite our partners to join us. In the morning, we have presentations from legislators and a Policy 101 session.  We invite stud</w:t>
      </w:r>
      <w:r>
        <w:rPr>
          <w:rFonts w:ascii="Arial"/>
          <w:lang w:val="pt-PT"/>
        </w:rPr>
        <w:t>ents to join us and the session is open to non-members.  In the afternoon, we meet individually with legislators.  We have documented talking points available about public health and legislative issues.  It is helpful to have a board member in each group v</w:t>
      </w:r>
      <w:r>
        <w:rPr>
          <w:rFonts w:ascii="Arial"/>
          <w:lang w:val="pt-PT"/>
        </w:rPr>
        <w:t xml:space="preserve">isiting legislators.  This is followed by the board meeting from 2-4. 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>A suggestion was made that board members or other organizations might sponsor student memberships.  The suggestion was referred to the Development Committee for follow up.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>Each board me</w:t>
      </w:r>
      <w:r>
        <w:rPr>
          <w:rFonts w:ascii="Arial"/>
          <w:lang w:val="pt-PT"/>
        </w:rPr>
        <w:t>mber has a commitment form - fill out and send in to Kim by next board meeting.</w:t>
      </w:r>
    </w:p>
    <w:p w:rsidR="00225FDB" w:rsidRDefault="00D1336A">
      <w:pPr>
        <w:pStyle w:val="BodyA"/>
        <w:rPr>
          <w:rFonts w:ascii="Arial" w:eastAsia="Arial" w:hAnsi="Arial" w:cs="Arial"/>
          <w:b/>
          <w:bCs/>
          <w:lang w:val="pt-PT"/>
        </w:rPr>
      </w:pPr>
      <w:r>
        <w:rPr>
          <w:rFonts w:ascii="Arial"/>
          <w:b/>
          <w:bCs/>
        </w:rPr>
        <w:t>Agenda Topic 5:</w:t>
      </w:r>
      <w:r>
        <w:rPr>
          <w:rFonts w:ascii="Arial"/>
          <w:b/>
          <w:bCs/>
          <w:lang w:val="pt-PT"/>
        </w:rPr>
        <w:t>New Business, Coalition and Section Updates - Robi Ingram-Rich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 xml:space="preserve">We were sent Membership, Communications and Policy Committee draft charters to review. They were </w:t>
      </w:r>
      <w:r>
        <w:rPr>
          <w:rFonts w:ascii="Arial"/>
          <w:lang w:val="pt-PT"/>
        </w:rPr>
        <w:t>updated to include 2015-17 strategic plan activities and will be reviewed again in light of today</w:t>
      </w:r>
      <w:r>
        <w:rPr>
          <w:rFonts w:hAnsi="Arial"/>
          <w:lang w:val="pt-PT"/>
        </w:rPr>
        <w:t>’</w:t>
      </w:r>
      <w:r>
        <w:rPr>
          <w:rFonts w:ascii="Arial"/>
          <w:lang w:val="pt-PT"/>
        </w:rPr>
        <w:t>s retreat. No action needed at present.</w:t>
      </w:r>
    </w:p>
    <w:p w:rsidR="00225FDB" w:rsidRDefault="00D1336A">
      <w:pPr>
        <w:pStyle w:val="BodyA"/>
        <w:rPr>
          <w:rFonts w:ascii="Arial" w:eastAsia="Arial" w:hAnsi="Arial" w:cs="Arial"/>
          <w:lang w:val="pt-PT"/>
        </w:rPr>
      </w:pPr>
      <w:r>
        <w:rPr>
          <w:rFonts w:ascii="Arial"/>
          <w:lang w:val="pt-PT"/>
        </w:rPr>
        <w:t xml:space="preserve">There has been discussion regarding the current requirement for each committee chair to be a board member and whether </w:t>
      </w:r>
      <w:r>
        <w:rPr>
          <w:rFonts w:ascii="Arial"/>
          <w:lang w:val="pt-PT"/>
        </w:rPr>
        <w:t xml:space="preserve">that is still considered necessary.  General consensus seems to be that being a member in good standing should be sufficient. </w:t>
      </w:r>
    </w:p>
    <w:p w:rsidR="00225FDB" w:rsidRDefault="00D1336A">
      <w:pPr>
        <w:pStyle w:val="BodyA"/>
        <w:rPr>
          <w:rFonts w:ascii="Arial" w:eastAsia="Arial" w:hAnsi="Arial" w:cs="Arial"/>
        </w:rPr>
      </w:pPr>
      <w:r>
        <w:rPr>
          <w:rFonts w:ascii="Arial"/>
          <w:lang w:val="pt-PT"/>
        </w:rPr>
        <w:t>Rebekah announced that she would like to convene a Membership Committee meeting in January.</w:t>
      </w:r>
    </w:p>
    <w:p w:rsidR="00225FDB" w:rsidRDefault="00225FDB">
      <w:pPr>
        <w:pStyle w:val="BodyA"/>
        <w:spacing w:before="0" w:after="0" w:line="240" w:lineRule="auto"/>
        <w:rPr>
          <w:rFonts w:ascii="Arial" w:eastAsia="Arial" w:hAnsi="Arial" w:cs="Arial"/>
        </w:rPr>
      </w:pPr>
    </w:p>
    <w:p w:rsidR="00225FDB" w:rsidRDefault="00D1336A">
      <w:pPr>
        <w:pStyle w:val="BodyA"/>
        <w:spacing w:before="0" w:after="0" w:line="240" w:lineRule="auto"/>
        <w:rPr>
          <w:rFonts w:ascii="Arial" w:eastAsia="Arial" w:hAnsi="Arial" w:cs="Arial"/>
          <w:b/>
          <w:bCs/>
          <w:lang w:val="fr-FR"/>
        </w:rPr>
      </w:pPr>
      <w:r>
        <w:rPr>
          <w:rFonts w:ascii="Arial"/>
          <w:lang w:val="pt-PT"/>
        </w:rPr>
        <w:t>Agenda Topic 6:</w:t>
      </w:r>
      <w:r>
        <w:rPr>
          <w:rFonts w:ascii="Arial"/>
          <w:b/>
          <w:bCs/>
          <w:lang w:val="fr-FR"/>
        </w:rPr>
        <w:t xml:space="preserve"> Adjourn</w:t>
      </w:r>
    </w:p>
    <w:p w:rsidR="00225FDB" w:rsidRDefault="00225FDB">
      <w:pPr>
        <w:pStyle w:val="BodyA"/>
        <w:spacing w:before="0" w:after="0" w:line="240" w:lineRule="auto"/>
        <w:rPr>
          <w:rFonts w:ascii="Arial" w:eastAsia="Arial" w:hAnsi="Arial" w:cs="Arial"/>
          <w:b/>
          <w:bCs/>
          <w:lang w:val="fr-FR"/>
        </w:rPr>
      </w:pPr>
    </w:p>
    <w:p w:rsidR="00225FDB" w:rsidRDefault="00D1336A">
      <w:pPr>
        <w:pStyle w:val="BodyA"/>
        <w:spacing w:before="0" w:after="0" w:line="240" w:lineRule="auto"/>
        <w:rPr>
          <w:rFonts w:ascii="Arial" w:eastAsia="Arial" w:hAnsi="Arial" w:cs="Arial"/>
          <w:lang w:val="fr-FR"/>
        </w:rPr>
      </w:pPr>
      <w:r>
        <w:rPr>
          <w:rFonts w:ascii="Arial"/>
          <w:b/>
          <w:bCs/>
          <w:lang w:val="fr-FR"/>
        </w:rPr>
        <w:t xml:space="preserve">   Motion: </w:t>
      </w:r>
      <w:r>
        <w:rPr>
          <w:rFonts w:ascii="Arial"/>
          <w:lang w:val="fr-FR"/>
        </w:rPr>
        <w:t>Motion, seconded to adjourn.</w:t>
      </w:r>
      <w:r>
        <w:rPr>
          <w:rFonts w:ascii="Arial"/>
          <w:b/>
          <w:bCs/>
          <w:lang w:val="fr-FR"/>
        </w:rPr>
        <w:t xml:space="preserve"> A</w:t>
      </w:r>
      <w:r>
        <w:rPr>
          <w:rFonts w:ascii="Arial"/>
          <w:lang w:val="fr-FR"/>
        </w:rPr>
        <w:t>yes all, motion carried. Meeting adjourned at 3:55 PM.</w:t>
      </w:r>
    </w:p>
    <w:p w:rsidR="00225FDB" w:rsidRDefault="00225FDB">
      <w:pPr>
        <w:pStyle w:val="BodyA"/>
        <w:spacing w:before="0" w:after="0" w:line="240" w:lineRule="auto"/>
        <w:rPr>
          <w:rFonts w:ascii="Arial" w:eastAsia="Arial" w:hAnsi="Arial" w:cs="Arial"/>
        </w:rPr>
      </w:pPr>
    </w:p>
    <w:p w:rsidR="00225FDB" w:rsidRDefault="00D1336A">
      <w:pPr>
        <w:pStyle w:val="Heading2"/>
        <w:rPr>
          <w:rFonts w:ascii="Arial" w:eastAsia="Arial" w:hAnsi="Arial" w:cs="Arial"/>
        </w:rPr>
      </w:pPr>
      <w:r>
        <w:rPr>
          <w:rFonts w:ascii="Arial"/>
        </w:rPr>
        <w:t>Upcoming Board Schedule:</w:t>
      </w:r>
      <w:r>
        <w:rPr>
          <w:rFonts w:ascii="Arial" w:eastAsia="Arial" w:hAnsi="Arial" w:cs="Arial"/>
        </w:rPr>
        <w:br/>
      </w:r>
    </w:p>
    <w:p w:rsidR="00225FDB" w:rsidRDefault="00D1336A">
      <w:pPr>
        <w:pStyle w:val="BodyA"/>
        <w:rPr>
          <w:rFonts w:ascii="Arial" w:eastAsia="Arial" w:hAnsi="Arial" w:cs="Arial"/>
        </w:rPr>
      </w:pPr>
      <w:r>
        <w:rPr>
          <w:rFonts w:ascii="Arial"/>
        </w:rPr>
        <w:t>January Board meeting, 1-15-2016, 1:00 - 3:00 PM, Northwest Health Foundation</w:t>
      </w:r>
    </w:p>
    <w:p w:rsidR="00225FDB" w:rsidRDefault="00D1336A">
      <w:pPr>
        <w:pStyle w:val="BodyA"/>
        <w:rPr>
          <w:rFonts w:ascii="Arial" w:eastAsia="Arial" w:hAnsi="Arial" w:cs="Arial"/>
        </w:rPr>
      </w:pPr>
      <w:r>
        <w:rPr>
          <w:rFonts w:ascii="Arial"/>
        </w:rPr>
        <w:t>Capitol Visit Day, State Capitol, Salem, February 5, 2016</w:t>
      </w:r>
    </w:p>
    <w:p w:rsidR="00225FDB" w:rsidRDefault="00D1336A">
      <w:pPr>
        <w:pStyle w:val="BodyA"/>
        <w:rPr>
          <w:rFonts w:ascii="Arial" w:eastAsia="Arial" w:hAnsi="Arial" w:cs="Arial"/>
        </w:rPr>
      </w:pPr>
      <w:r>
        <w:rPr>
          <w:rFonts w:ascii="Arial"/>
        </w:rPr>
        <w:t>February</w:t>
      </w:r>
      <w:r>
        <w:rPr>
          <w:rFonts w:ascii="Arial"/>
        </w:rPr>
        <w:t xml:space="preserve"> Board meeting, 2-5-16, 2:00-4:00 PM, State Capitol Building, Hearing Room 50</w:t>
      </w:r>
    </w:p>
    <w:p w:rsidR="00225FDB" w:rsidRDefault="00D1336A">
      <w:pPr>
        <w:pStyle w:val="BodyA"/>
      </w:pPr>
      <w:r>
        <w:rPr>
          <w:rFonts w:ascii="Arial" w:eastAsia="Arial" w:hAnsi="Arial" w:cs="Arial"/>
        </w:rPr>
        <w:br w:type="page"/>
      </w:r>
    </w:p>
    <w:p w:rsidR="00225FDB" w:rsidRDefault="00225FDB">
      <w:pPr>
        <w:pStyle w:val="BodyA"/>
      </w:pPr>
    </w:p>
    <w:sectPr w:rsidR="00225FDB">
      <w:headerReference w:type="default" r:id="rId6"/>
      <w:footerReference w:type="default" r:id="rId7"/>
      <w:pgSz w:w="11900" w:h="16840"/>
      <w:pgMar w:top="810" w:right="1440" w:bottom="90" w:left="1440" w:header="708" w:footer="2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6A" w:rsidRDefault="00D1336A">
      <w:r>
        <w:separator/>
      </w:r>
    </w:p>
  </w:endnote>
  <w:endnote w:type="continuationSeparator" w:id="0">
    <w:p w:rsidR="00D1336A" w:rsidRDefault="00D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DB" w:rsidRDefault="00D1336A">
    <w:pPr>
      <w:pStyle w:val="Footer"/>
      <w:tabs>
        <w:tab w:val="clear" w:pos="9026"/>
        <w:tab w:val="right" w:pos="9000"/>
      </w:tabs>
      <w:jc w:val="right"/>
    </w:pPr>
    <w:r>
      <w:rPr>
        <w:rFonts w:ascii="Trebuchet MS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20580">
      <w:rPr>
        <w:b/>
        <w:bCs/>
        <w:noProof/>
      </w:rPr>
      <w:t>2</w:t>
    </w:r>
    <w:r>
      <w:rPr>
        <w:b/>
        <w:bCs/>
      </w:rPr>
      <w:fldChar w:fldCharType="end"/>
    </w:r>
    <w:r>
      <w:rPr>
        <w:rFonts w:ascii="Trebuchet MS"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2058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6A" w:rsidRDefault="00D1336A">
      <w:r>
        <w:separator/>
      </w:r>
    </w:p>
  </w:footnote>
  <w:footnote w:type="continuationSeparator" w:id="0">
    <w:p w:rsidR="00D1336A" w:rsidRDefault="00D1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FDB" w:rsidRDefault="00225FD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DB"/>
    <w:rsid w:val="00225FDB"/>
    <w:rsid w:val="00D1336A"/>
    <w:rsid w:val="00F2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B4D73-E6B3-44A7-95C9-0210AD1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="Calibri" w:hAnsi="Calibri" w:cs="Calibri"/>
      <w:caps/>
      <w:color w:val="000000"/>
      <w:spacing w:val="15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u w:color="000000"/>
    </w:rPr>
  </w:style>
  <w:style w:type="paragraph" w:customStyle="1" w:styleId="Heading">
    <w:name w:val="Heading"/>
    <w:next w:val="Body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eastAsia="Calibri" w:hAnsi="Calibri" w:cs="Calibri"/>
      <w:b/>
      <w:bCs/>
      <w:caps/>
      <w:color w:val="FFFFFF"/>
      <w:spacing w:val="15"/>
      <w:u w:color="FFFFFF"/>
    </w:rPr>
  </w:style>
  <w:style w:type="paragraph" w:customStyle="1" w:styleId="BodyA">
    <w:name w:val="Body A"/>
    <w:pPr>
      <w:spacing w:before="200"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customStyle="1" w:styleId="TableStyle2A">
    <w:name w:val="Table Style 2 A"/>
    <w:rPr>
      <w:rFonts w:ascii="Helvetica" w:hAnsi="Arial Unicode MS"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Small">
    <w:name w:val="Small"/>
    <w:pPr>
      <w:spacing w:before="200" w:after="200" w:line="276" w:lineRule="auto"/>
    </w:pPr>
    <w:rPr>
      <w:rFonts w:ascii="Calibri" w:eastAsia="Calibri" w:hAnsi="Calibri" w:cs="Calibri"/>
      <w:color w:val="365F91"/>
      <w:sz w:val="16"/>
      <w:szCs w:val="16"/>
      <w:u w:color="365F91"/>
    </w:rPr>
  </w:style>
  <w:style w:type="paragraph" w:customStyle="1" w:styleId="LightGrid-Accent31">
    <w:name w:val="Light Grid - Accent 31"/>
    <w:pPr>
      <w:spacing w:before="200" w:after="200"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pPr>
      <w:spacing w:before="200" w:after="200" w:line="276" w:lineRule="auto"/>
      <w:ind w:left="720"/>
    </w:pPr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2016-03-02T17:21:00Z</dcterms:created>
  <dcterms:modified xsi:type="dcterms:W3CDTF">2016-03-02T17:21:00Z</dcterms:modified>
</cp:coreProperties>
</file>